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48A" w:rsidRPr="0041248A" w:rsidRDefault="0041248A" w:rsidP="0041248A">
      <w:pPr>
        <w:shd w:val="clear" w:color="auto" w:fill="FFFFFF"/>
        <w:spacing w:after="100" w:afterAutospacing="1" w:line="240" w:lineRule="auto"/>
        <w:outlineLvl w:val="3"/>
        <w:rPr>
          <w:rFonts w:ascii="Arial" w:eastAsia="Times New Roman" w:hAnsi="Arial" w:cs="Arial"/>
          <w:color w:val="5185B9"/>
          <w:sz w:val="24"/>
          <w:szCs w:val="24"/>
          <w:lang w:eastAsia="id-ID"/>
        </w:rPr>
      </w:pPr>
      <w:r w:rsidRPr="0041248A">
        <w:rPr>
          <w:rFonts w:ascii="Arial" w:eastAsia="Times New Roman" w:hAnsi="Arial" w:cs="Arial"/>
          <w:color w:val="5185B9"/>
          <w:sz w:val="24"/>
          <w:szCs w:val="24"/>
          <w:lang w:eastAsia="id-ID"/>
        </w:rPr>
        <w:t>SAK Indonesia Update - PSAK Berlaku Efektif 2024 dan Setelahnya</w:t>
      </w:r>
    </w:p>
    <w:p w:rsidR="0041248A" w:rsidRPr="0041248A" w:rsidRDefault="0041248A" w:rsidP="0041248A">
      <w:pPr>
        <w:shd w:val="clear" w:color="auto" w:fill="FFFFFF"/>
        <w:spacing w:after="100" w:afterAutospacing="1" w:line="240" w:lineRule="auto"/>
        <w:rPr>
          <w:rFonts w:ascii="Arial" w:eastAsia="Times New Roman" w:hAnsi="Arial" w:cs="Arial"/>
          <w:color w:val="666666"/>
          <w:sz w:val="18"/>
          <w:szCs w:val="18"/>
          <w:lang w:eastAsia="id-ID"/>
        </w:rPr>
      </w:pPr>
      <w:r w:rsidRPr="0041248A">
        <w:rPr>
          <w:rFonts w:ascii="Arial" w:eastAsia="Times New Roman" w:hAnsi="Arial" w:cs="Arial"/>
          <w:color w:val="666666"/>
          <w:sz w:val="18"/>
          <w:szCs w:val="18"/>
          <w:lang w:eastAsia="id-ID"/>
        </w:rPr>
        <w:t> </w:t>
      </w:r>
      <w:r w:rsidRPr="0041248A">
        <w:rPr>
          <w:rFonts w:ascii="Arial" w:eastAsia="Times New Roman" w:hAnsi="Arial" w:cs="Arial"/>
          <w:i/>
          <w:iCs/>
          <w:color w:val="666666"/>
          <w:sz w:val="18"/>
          <w:szCs w:val="18"/>
          <w:lang w:eastAsia="id-ID"/>
        </w:rPr>
        <w:t>08 Februari 2024 - </w:t>
      </w:r>
      <w:hyperlink r:id="rId4" w:history="1">
        <w:r w:rsidRPr="0041248A">
          <w:rPr>
            <w:rFonts w:ascii="Arial" w:eastAsia="Times New Roman" w:hAnsi="Arial" w:cs="Arial"/>
            <w:i/>
            <w:iCs/>
            <w:color w:val="D0252B"/>
            <w:sz w:val="18"/>
            <w:szCs w:val="18"/>
            <w:lang w:eastAsia="id-ID"/>
          </w:rPr>
          <w:t>SAK Update</w:t>
        </w:r>
      </w:hyperlink>
    </w:p>
    <w:p w:rsidR="0041248A" w:rsidRPr="0041248A" w:rsidRDefault="0041248A" w:rsidP="0041248A">
      <w:pPr>
        <w:spacing w:after="0" w:line="240" w:lineRule="auto"/>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pict>
          <v:rect id="_x0000_i1025" style="width:0;height:0" o:hrstd="t" o:hrnoshade="t" o:hr="t" fillcolor="#212529" stroked="f"/>
        </w:pict>
      </w:r>
    </w:p>
    <w:p w:rsidR="0041248A" w:rsidRPr="0041248A" w:rsidRDefault="0041248A" w:rsidP="0041248A">
      <w:pPr>
        <w:shd w:val="clear" w:color="auto" w:fill="FFFFFF"/>
        <w:spacing w:after="100" w:afterAutospacing="1" w:line="240" w:lineRule="auto"/>
        <w:rPr>
          <w:rFonts w:ascii="Arial" w:eastAsia="Times New Roman" w:hAnsi="Arial" w:cs="Arial"/>
          <w:color w:val="212529"/>
          <w:sz w:val="20"/>
          <w:szCs w:val="20"/>
          <w:lang w:eastAsia="id-ID"/>
        </w:rPr>
      </w:pPr>
      <w:r w:rsidRPr="0041248A">
        <w:rPr>
          <w:rFonts w:ascii="Arial" w:eastAsia="Times New Roman" w:hAnsi="Arial" w:cs="Arial"/>
          <w:color w:val="212529"/>
          <w:sz w:val="20"/>
          <w:szCs w:val="20"/>
          <w:lang w:eastAsia="id-ID"/>
        </w:rPr>
        <w:t>SAK Indonesia yang merupakan hasil dari program konvergensi IFRS terus berkembang seiring perkembangan IFRS Accounting Standards. Sampai dengan tahun 2023, berikut adalah perubahan PSAK yang berlaku per 1 Januari 2024 dan setelahnya.</w:t>
      </w:r>
    </w:p>
    <w:p w:rsidR="0041248A" w:rsidRPr="0041248A" w:rsidRDefault="0041248A" w:rsidP="0041248A">
      <w:pPr>
        <w:spacing w:after="0" w:line="240" w:lineRule="auto"/>
        <w:rPr>
          <w:rFonts w:ascii="Times New Roman" w:eastAsia="Times New Roman" w:hAnsi="Times New Roman" w:cs="Times New Roman"/>
          <w:sz w:val="24"/>
          <w:szCs w:val="24"/>
          <w:lang w:eastAsia="id-ID"/>
        </w:rPr>
      </w:pPr>
    </w:p>
    <w:tbl>
      <w:tblPr>
        <w:tblW w:w="0" w:type="auto"/>
        <w:jc w:val="center"/>
        <w:tblCellMar>
          <w:left w:w="0" w:type="dxa"/>
          <w:right w:w="0" w:type="dxa"/>
        </w:tblCellMar>
        <w:tblLook w:val="04A0" w:firstRow="1" w:lastRow="0" w:firstColumn="1" w:lastColumn="0" w:noHBand="0" w:noVBand="1"/>
      </w:tblPr>
      <w:tblGrid>
        <w:gridCol w:w="578"/>
        <w:gridCol w:w="2732"/>
        <w:gridCol w:w="3924"/>
        <w:gridCol w:w="1772"/>
      </w:tblGrid>
      <w:tr w:rsidR="0041248A" w:rsidRPr="0041248A" w:rsidTr="0041248A">
        <w:trPr>
          <w:jc w:val="center"/>
        </w:trPr>
        <w:tc>
          <w:tcPr>
            <w:tcW w:w="5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b/>
                <w:bCs/>
                <w:sz w:val="24"/>
                <w:szCs w:val="24"/>
                <w:lang w:eastAsia="id-ID"/>
              </w:rPr>
              <w:t>No.</w:t>
            </w:r>
          </w:p>
        </w:tc>
        <w:tc>
          <w:tcPr>
            <w:tcW w:w="2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48A" w:rsidRPr="0041248A" w:rsidRDefault="0041248A" w:rsidP="0041248A">
            <w:pPr>
              <w:spacing w:after="0" w:line="224" w:lineRule="atLeast"/>
              <w:jc w:val="center"/>
              <w:rPr>
                <w:rFonts w:ascii="Times New Roman" w:eastAsia="Times New Roman" w:hAnsi="Times New Roman" w:cs="Times New Roman"/>
                <w:sz w:val="24"/>
                <w:szCs w:val="24"/>
                <w:lang w:eastAsia="id-ID"/>
              </w:rPr>
            </w:pPr>
            <w:r w:rsidRPr="0041248A">
              <w:rPr>
                <w:rFonts w:ascii="Times New Roman" w:eastAsia="Times New Roman" w:hAnsi="Times New Roman" w:cs="Times New Roman"/>
                <w:b/>
                <w:bCs/>
                <w:sz w:val="24"/>
                <w:szCs w:val="24"/>
                <w:lang w:eastAsia="id-ID"/>
              </w:rPr>
              <w:t>PSAK</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48A" w:rsidRPr="0041248A" w:rsidRDefault="0041248A" w:rsidP="0041248A">
            <w:pPr>
              <w:spacing w:after="0" w:line="224" w:lineRule="atLeast"/>
              <w:jc w:val="center"/>
              <w:rPr>
                <w:rFonts w:ascii="Times New Roman" w:eastAsia="Times New Roman" w:hAnsi="Times New Roman" w:cs="Times New Roman"/>
                <w:sz w:val="24"/>
                <w:szCs w:val="24"/>
                <w:lang w:eastAsia="id-ID"/>
              </w:rPr>
            </w:pPr>
            <w:r w:rsidRPr="0041248A">
              <w:rPr>
                <w:rFonts w:ascii="Times New Roman" w:eastAsia="Times New Roman" w:hAnsi="Times New Roman" w:cs="Times New Roman"/>
                <w:b/>
                <w:bCs/>
                <w:sz w:val="24"/>
                <w:szCs w:val="24"/>
                <w:lang w:eastAsia="id-ID"/>
              </w:rPr>
              <w:t>Keterangan</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1248A" w:rsidRPr="0041248A" w:rsidRDefault="0041248A" w:rsidP="0041248A">
            <w:pPr>
              <w:spacing w:after="0" w:line="224" w:lineRule="atLeast"/>
              <w:jc w:val="center"/>
              <w:rPr>
                <w:rFonts w:ascii="Times New Roman" w:eastAsia="Times New Roman" w:hAnsi="Times New Roman" w:cs="Times New Roman"/>
                <w:sz w:val="24"/>
                <w:szCs w:val="24"/>
                <w:lang w:eastAsia="id-ID"/>
              </w:rPr>
            </w:pPr>
            <w:r w:rsidRPr="0041248A">
              <w:rPr>
                <w:rFonts w:ascii="Times New Roman" w:eastAsia="Times New Roman" w:hAnsi="Times New Roman" w:cs="Times New Roman"/>
                <w:b/>
                <w:bCs/>
                <w:sz w:val="24"/>
                <w:szCs w:val="24"/>
                <w:lang w:eastAsia="id-ID"/>
              </w:rPr>
              <w:t>Tanggal efektif</w:t>
            </w:r>
          </w:p>
        </w:tc>
      </w:tr>
      <w:tr w:rsidR="0041248A" w:rsidRPr="0041248A" w:rsidTr="0041248A">
        <w:trPr>
          <w:trHeight w:val="1518"/>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116: </w:t>
            </w:r>
            <w:r w:rsidRPr="0041248A">
              <w:rPr>
                <w:rFonts w:ascii="Times New Roman" w:eastAsia="Times New Roman" w:hAnsi="Times New Roman" w:cs="Times New Roman"/>
                <w:i/>
                <w:iCs/>
                <w:sz w:val="24"/>
                <w:szCs w:val="24"/>
                <w:lang w:eastAsia="id-ID"/>
              </w:rPr>
              <w:t>Sewa</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Amendemen tentang liabilitas sewa dalam jual dan sewa balik. Amendemen ini mengatur pengukuran selanjutnya atas transaksi jual dan sewa balik.</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2024</w:t>
            </w:r>
          </w:p>
        </w:tc>
      </w:tr>
      <w:tr w:rsidR="0041248A" w:rsidRPr="0041248A" w:rsidTr="0041248A">
        <w:trPr>
          <w:trHeight w:val="684"/>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2.</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201: </w:t>
            </w:r>
            <w:r w:rsidRPr="0041248A">
              <w:rPr>
                <w:rFonts w:ascii="Times New Roman" w:eastAsia="Times New Roman" w:hAnsi="Times New Roman" w:cs="Times New Roman"/>
                <w:i/>
                <w:iCs/>
                <w:sz w:val="24"/>
                <w:szCs w:val="24"/>
                <w:lang w:eastAsia="id-ID"/>
              </w:rPr>
              <w:t>Penyajian Laporan Keuangan</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Amendemen tentang liabilitas jangka panjang dengan kovenan. Amendemen ini mengatur bahwa hanya kovenan yang harus dipatuhi entitas pada atau sebelum tanggal pelaporan yang akan memengaruhi klasifikasi liabilitas jangka pendek atau jangka panjang serta pengungkapannya.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2024</w:t>
            </w:r>
          </w:p>
        </w:tc>
      </w:tr>
      <w:tr w:rsidR="0041248A" w:rsidRPr="0041248A" w:rsidTr="0041248A">
        <w:trPr>
          <w:trHeight w:val="1763"/>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3.</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207: </w:t>
            </w:r>
            <w:r w:rsidRPr="0041248A">
              <w:rPr>
                <w:rFonts w:ascii="Times New Roman" w:eastAsia="Times New Roman" w:hAnsi="Times New Roman" w:cs="Times New Roman"/>
                <w:i/>
                <w:iCs/>
                <w:sz w:val="24"/>
                <w:szCs w:val="24"/>
                <w:lang w:eastAsia="id-ID"/>
              </w:rPr>
              <w:t>Laporan Arus Kas</w:t>
            </w:r>
            <w:r w:rsidRPr="0041248A">
              <w:rPr>
                <w:rFonts w:ascii="Times New Roman" w:eastAsia="Times New Roman" w:hAnsi="Times New Roman" w:cs="Times New Roman"/>
                <w:sz w:val="24"/>
                <w:szCs w:val="24"/>
                <w:lang w:eastAsia="id-ID"/>
              </w:rPr>
              <w:t> dan PSAK 107: </w:t>
            </w:r>
            <w:r w:rsidRPr="0041248A">
              <w:rPr>
                <w:rFonts w:ascii="Times New Roman" w:eastAsia="Times New Roman" w:hAnsi="Times New Roman" w:cs="Times New Roman"/>
                <w:i/>
                <w:iCs/>
                <w:sz w:val="24"/>
                <w:szCs w:val="24"/>
                <w:lang w:eastAsia="id-ID"/>
              </w:rPr>
              <w:t>Instrumen Keuangan: Pengungkapan</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Amendemen tentang pengaturan pembiayaan pemasok. Amendemen ini memperjelas pengungkapan terkait pengaturan pembiayaan pemasok.</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2024</w:t>
            </w:r>
          </w:p>
        </w:tc>
      </w:tr>
      <w:tr w:rsidR="0041248A" w:rsidRPr="0041248A" w:rsidTr="0041248A">
        <w:trPr>
          <w:trHeight w:val="3606"/>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highlight w:val="yellow"/>
                <w:lang w:eastAsia="id-ID"/>
              </w:rPr>
            </w:pPr>
            <w:r w:rsidRPr="0041248A">
              <w:rPr>
                <w:rFonts w:ascii="Times New Roman" w:eastAsia="Times New Roman" w:hAnsi="Times New Roman" w:cs="Times New Roman"/>
                <w:sz w:val="24"/>
                <w:szCs w:val="24"/>
                <w:highlight w:val="yellow"/>
                <w:lang w:eastAsia="id-ID"/>
              </w:rPr>
              <w:t>4.</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jc w:val="both"/>
              <w:rPr>
                <w:rFonts w:ascii="Times New Roman" w:eastAsia="Times New Roman" w:hAnsi="Times New Roman" w:cs="Times New Roman"/>
                <w:sz w:val="24"/>
                <w:szCs w:val="24"/>
                <w:highlight w:val="yellow"/>
                <w:lang w:eastAsia="id-ID"/>
              </w:rPr>
            </w:pPr>
            <w:r w:rsidRPr="0041248A">
              <w:rPr>
                <w:rFonts w:ascii="Times New Roman" w:eastAsia="Times New Roman" w:hAnsi="Times New Roman" w:cs="Times New Roman"/>
                <w:sz w:val="24"/>
                <w:szCs w:val="24"/>
                <w:highlight w:val="yellow"/>
                <w:lang w:eastAsia="id-ID"/>
              </w:rPr>
              <w:t>PSAK 409: </w:t>
            </w:r>
            <w:r w:rsidRPr="0041248A">
              <w:rPr>
                <w:rFonts w:ascii="Times New Roman" w:eastAsia="Times New Roman" w:hAnsi="Times New Roman" w:cs="Times New Roman"/>
                <w:i/>
                <w:iCs/>
                <w:sz w:val="24"/>
                <w:szCs w:val="24"/>
                <w:highlight w:val="yellow"/>
                <w:lang w:eastAsia="id-ID"/>
              </w:rPr>
              <w:t>Akuntansi Zakat, Infak, dan Sedekah</w:t>
            </w:r>
            <w:r w:rsidRPr="0041248A">
              <w:rPr>
                <w:rFonts w:ascii="Times New Roman" w:eastAsia="Times New Roman" w:hAnsi="Times New Roman" w:cs="Times New Roman"/>
                <w:sz w:val="24"/>
                <w:szCs w:val="24"/>
                <w:highlight w:val="yellow"/>
                <w:lang w:eastAsia="id-ID"/>
              </w:rPr>
              <w:t> dan PSAK 401: </w:t>
            </w:r>
            <w:r w:rsidRPr="0041248A">
              <w:rPr>
                <w:rFonts w:ascii="Times New Roman" w:eastAsia="Times New Roman" w:hAnsi="Times New Roman" w:cs="Times New Roman"/>
                <w:i/>
                <w:iCs/>
                <w:sz w:val="24"/>
                <w:szCs w:val="24"/>
                <w:highlight w:val="yellow"/>
                <w:lang w:eastAsia="id-ID"/>
              </w:rPr>
              <w:t>Penyajian Laporan Keuangan Syariah</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jc w:val="both"/>
              <w:rPr>
                <w:rFonts w:ascii="Times New Roman" w:eastAsia="Times New Roman" w:hAnsi="Times New Roman" w:cs="Times New Roman"/>
                <w:sz w:val="24"/>
                <w:szCs w:val="24"/>
                <w:highlight w:val="yellow"/>
                <w:lang w:eastAsia="id-ID"/>
              </w:rPr>
            </w:pPr>
            <w:r w:rsidRPr="0041248A">
              <w:rPr>
                <w:rFonts w:ascii="Times New Roman" w:eastAsia="Times New Roman" w:hAnsi="Times New Roman" w:cs="Times New Roman"/>
                <w:sz w:val="24"/>
                <w:szCs w:val="24"/>
                <w:highlight w:val="yellow"/>
                <w:lang w:eastAsia="id-ID"/>
              </w:rPr>
              <w:t>Revisi PSAK 409 terkait dengan pengukuran selanjutnya untuk aset zakat, infak, dan sedekah yang terpapar fluktuasi nilai wajar signifikan, serta menambahkan pengaturan baru seperti sedekah jasa dan diskon atau potongan atas pembelian aset atau jasa.</w:t>
            </w:r>
          </w:p>
          <w:p w:rsidR="0041248A" w:rsidRPr="0041248A" w:rsidRDefault="0041248A" w:rsidP="0041248A">
            <w:pPr>
              <w:shd w:val="clear" w:color="auto" w:fill="FFFFFF"/>
              <w:spacing w:after="120" w:line="224" w:lineRule="atLeast"/>
              <w:jc w:val="both"/>
              <w:rPr>
                <w:rFonts w:ascii="Times New Roman" w:eastAsia="Times New Roman" w:hAnsi="Times New Roman" w:cs="Times New Roman"/>
                <w:sz w:val="24"/>
                <w:szCs w:val="24"/>
                <w:highlight w:val="yellow"/>
                <w:lang w:eastAsia="id-ID"/>
              </w:rPr>
            </w:pPr>
            <w:r w:rsidRPr="0041248A">
              <w:rPr>
                <w:rFonts w:ascii="Times New Roman" w:eastAsia="Times New Roman" w:hAnsi="Times New Roman" w:cs="Times New Roman"/>
                <w:sz w:val="24"/>
                <w:szCs w:val="24"/>
                <w:highlight w:val="yellow"/>
                <w:lang w:eastAsia="id-ID"/>
              </w:rPr>
              <w:t>Revisi PSAK 401 menghilangkan penyajian laporan perubahan aset kelolaan sebagai salah satu komponen laporan keuangan.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jc w:val="both"/>
              <w:rPr>
                <w:rFonts w:ascii="Times New Roman" w:eastAsia="Times New Roman" w:hAnsi="Times New Roman" w:cs="Times New Roman"/>
                <w:sz w:val="24"/>
                <w:szCs w:val="24"/>
                <w:highlight w:val="yellow"/>
                <w:lang w:eastAsia="id-ID"/>
              </w:rPr>
            </w:pPr>
            <w:r w:rsidRPr="0041248A">
              <w:rPr>
                <w:rFonts w:ascii="Times New Roman" w:eastAsia="Times New Roman" w:hAnsi="Times New Roman" w:cs="Times New Roman"/>
                <w:sz w:val="24"/>
                <w:szCs w:val="24"/>
                <w:highlight w:val="yellow"/>
                <w:lang w:eastAsia="id-ID"/>
              </w:rPr>
              <w:t>1 Jan 2024</w:t>
            </w:r>
          </w:p>
        </w:tc>
        <w:bookmarkStart w:id="0" w:name="_GoBack"/>
        <w:bookmarkEnd w:id="0"/>
      </w:tr>
      <w:tr w:rsidR="0041248A" w:rsidRPr="0041248A" w:rsidTr="0041248A">
        <w:trPr>
          <w:trHeight w:val="1641"/>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lastRenderedPageBreak/>
              <w:t>5.</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221: </w:t>
            </w:r>
            <w:r w:rsidRPr="0041248A">
              <w:rPr>
                <w:rFonts w:ascii="Times New Roman" w:eastAsia="Times New Roman" w:hAnsi="Times New Roman" w:cs="Times New Roman"/>
                <w:i/>
                <w:iCs/>
                <w:sz w:val="24"/>
                <w:szCs w:val="24"/>
                <w:lang w:eastAsia="id-ID"/>
              </w:rPr>
              <w:t>Pengaruh Perubahan Kurs Valuta Asing</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Amendemen tentang kekurangan ketertukaran. Amendemen ini memperjelas pengaturan terkait kondisi ketika suatu mata uang tidak tertukarkan serta pengungkapannya.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2025</w:t>
            </w:r>
          </w:p>
        </w:tc>
      </w:tr>
      <w:tr w:rsidR="0041248A" w:rsidRPr="0041248A" w:rsidTr="0041248A">
        <w:trPr>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6.</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117: </w:t>
            </w:r>
            <w:r w:rsidRPr="0041248A">
              <w:rPr>
                <w:rFonts w:ascii="Times New Roman" w:eastAsia="Times New Roman" w:hAnsi="Times New Roman" w:cs="Times New Roman"/>
                <w:i/>
                <w:iCs/>
                <w:sz w:val="24"/>
                <w:szCs w:val="24"/>
                <w:lang w:eastAsia="id-ID"/>
              </w:rPr>
              <w:t>Kontrak Asuransi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117 merujuk pada IFRS 17 Insurance Contracts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2025</w:t>
            </w:r>
          </w:p>
        </w:tc>
      </w:tr>
      <w:tr w:rsidR="0041248A" w:rsidRPr="0041248A" w:rsidTr="0041248A">
        <w:trPr>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7.</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103: </w:t>
            </w:r>
            <w:r w:rsidRPr="0041248A">
              <w:rPr>
                <w:rFonts w:ascii="Times New Roman" w:eastAsia="Times New Roman" w:hAnsi="Times New Roman" w:cs="Times New Roman"/>
                <w:i/>
                <w:iCs/>
                <w:sz w:val="24"/>
                <w:szCs w:val="24"/>
                <w:lang w:eastAsia="id-ID"/>
              </w:rPr>
              <w:t>Kombinasi Bisnis</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PSAK105: </w:t>
            </w:r>
            <w:r w:rsidRPr="0041248A">
              <w:rPr>
                <w:rFonts w:ascii="Times New Roman" w:eastAsia="Times New Roman" w:hAnsi="Times New Roman" w:cs="Times New Roman"/>
                <w:i/>
                <w:iCs/>
                <w:sz w:val="24"/>
                <w:szCs w:val="24"/>
                <w:lang w:eastAsia="id-ID"/>
              </w:rPr>
              <w:t>Aset Tidak Lancar yang Dikuasai untuk Dijual dan Operasi yang Dihentikan</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107: </w:t>
            </w:r>
            <w:r w:rsidRPr="0041248A">
              <w:rPr>
                <w:rFonts w:ascii="Times New Roman" w:eastAsia="Times New Roman" w:hAnsi="Times New Roman" w:cs="Times New Roman"/>
                <w:i/>
                <w:iCs/>
                <w:sz w:val="24"/>
                <w:szCs w:val="24"/>
                <w:lang w:eastAsia="id-ID"/>
              </w:rPr>
              <w:t>Instrumen Keuangan: Pengungkapan</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109:</w:t>
            </w:r>
            <w:r w:rsidRPr="0041248A">
              <w:rPr>
                <w:rFonts w:ascii="Times New Roman" w:eastAsia="Times New Roman" w:hAnsi="Times New Roman" w:cs="Times New Roman"/>
                <w:i/>
                <w:iCs/>
                <w:sz w:val="24"/>
                <w:szCs w:val="24"/>
                <w:lang w:eastAsia="id-ID"/>
              </w:rPr>
              <w:t> Instrumen Keuangan</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115: </w:t>
            </w:r>
            <w:r w:rsidRPr="0041248A">
              <w:rPr>
                <w:rFonts w:ascii="Times New Roman" w:eastAsia="Times New Roman" w:hAnsi="Times New Roman" w:cs="Times New Roman"/>
                <w:i/>
                <w:iCs/>
                <w:sz w:val="24"/>
                <w:szCs w:val="24"/>
                <w:lang w:eastAsia="id-ID"/>
              </w:rPr>
              <w:t>Pendapatan dari Kontrak dengan Pelanggan</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201: </w:t>
            </w:r>
            <w:r w:rsidRPr="0041248A">
              <w:rPr>
                <w:rFonts w:ascii="Times New Roman" w:eastAsia="Times New Roman" w:hAnsi="Times New Roman" w:cs="Times New Roman"/>
                <w:i/>
                <w:iCs/>
                <w:sz w:val="24"/>
                <w:szCs w:val="24"/>
                <w:lang w:eastAsia="id-ID"/>
              </w:rPr>
              <w:t>Penyajian Laporan Keuangan</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207: </w:t>
            </w:r>
            <w:r w:rsidRPr="0041248A">
              <w:rPr>
                <w:rFonts w:ascii="Times New Roman" w:eastAsia="Times New Roman" w:hAnsi="Times New Roman" w:cs="Times New Roman"/>
                <w:i/>
                <w:iCs/>
                <w:sz w:val="24"/>
                <w:szCs w:val="24"/>
                <w:lang w:eastAsia="id-ID"/>
              </w:rPr>
              <w:t>Laporan Arus Kas</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216: </w:t>
            </w:r>
            <w:r w:rsidRPr="0041248A">
              <w:rPr>
                <w:rFonts w:ascii="Times New Roman" w:eastAsia="Times New Roman" w:hAnsi="Times New Roman" w:cs="Times New Roman"/>
                <w:i/>
                <w:iCs/>
                <w:sz w:val="24"/>
                <w:szCs w:val="24"/>
                <w:lang w:eastAsia="id-ID"/>
              </w:rPr>
              <w:t>Aset Tetap</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219: </w:t>
            </w:r>
            <w:r w:rsidRPr="0041248A">
              <w:rPr>
                <w:rFonts w:ascii="Times New Roman" w:eastAsia="Times New Roman" w:hAnsi="Times New Roman" w:cs="Times New Roman"/>
                <w:i/>
                <w:iCs/>
                <w:sz w:val="24"/>
                <w:szCs w:val="24"/>
                <w:lang w:eastAsia="id-ID"/>
              </w:rPr>
              <w:t>Imbalan Kerja</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228:</w:t>
            </w:r>
            <w:r w:rsidRPr="0041248A">
              <w:rPr>
                <w:rFonts w:ascii="Times New Roman" w:eastAsia="Times New Roman" w:hAnsi="Times New Roman" w:cs="Times New Roman"/>
                <w:i/>
                <w:iCs/>
                <w:sz w:val="24"/>
                <w:szCs w:val="24"/>
                <w:lang w:eastAsia="id-ID"/>
              </w:rPr>
              <w:t> Investasi pada Entitas Asosiasi dan Ventura Bersama</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232: </w:t>
            </w:r>
            <w:r w:rsidRPr="0041248A">
              <w:rPr>
                <w:rFonts w:ascii="Times New Roman" w:eastAsia="Times New Roman" w:hAnsi="Times New Roman" w:cs="Times New Roman"/>
                <w:i/>
                <w:iCs/>
                <w:sz w:val="24"/>
                <w:szCs w:val="24"/>
                <w:lang w:eastAsia="id-ID"/>
              </w:rPr>
              <w:t>Instrumen Keuangan: Penyajian</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236: </w:t>
            </w:r>
            <w:r w:rsidRPr="0041248A">
              <w:rPr>
                <w:rFonts w:ascii="Times New Roman" w:eastAsia="Times New Roman" w:hAnsi="Times New Roman" w:cs="Times New Roman"/>
                <w:i/>
                <w:iCs/>
                <w:sz w:val="24"/>
                <w:szCs w:val="24"/>
                <w:lang w:eastAsia="id-ID"/>
              </w:rPr>
              <w:t>Penurunan Nilai Aset</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237: </w:t>
            </w:r>
            <w:r w:rsidRPr="0041248A">
              <w:rPr>
                <w:rFonts w:ascii="Times New Roman" w:eastAsia="Times New Roman" w:hAnsi="Times New Roman" w:cs="Times New Roman"/>
                <w:i/>
                <w:iCs/>
                <w:sz w:val="24"/>
                <w:szCs w:val="24"/>
                <w:lang w:eastAsia="id-ID"/>
              </w:rPr>
              <w:t>Provisi, Liabilitas Kontinjensi, dan Aset Kontinjensi</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238: </w:t>
            </w:r>
            <w:r w:rsidRPr="0041248A">
              <w:rPr>
                <w:rFonts w:ascii="Times New Roman" w:eastAsia="Times New Roman" w:hAnsi="Times New Roman" w:cs="Times New Roman"/>
                <w:i/>
                <w:iCs/>
                <w:sz w:val="24"/>
                <w:szCs w:val="24"/>
                <w:lang w:eastAsia="id-ID"/>
              </w:rPr>
              <w:t>Aset Takberwujud</w:t>
            </w:r>
          </w:p>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240: </w:t>
            </w:r>
            <w:r w:rsidRPr="0041248A">
              <w:rPr>
                <w:rFonts w:ascii="Times New Roman" w:eastAsia="Times New Roman" w:hAnsi="Times New Roman" w:cs="Times New Roman"/>
                <w:i/>
                <w:iCs/>
                <w:sz w:val="24"/>
                <w:szCs w:val="24"/>
                <w:lang w:eastAsia="id-ID"/>
              </w:rPr>
              <w:t>Properti Investasi</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jc w:val="both"/>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Amendemen konsekuensial karena berlaku efektifnya PSAK 117: Kontrak Asuransi</w:t>
            </w:r>
          </w:p>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2025</w:t>
            </w:r>
          </w:p>
        </w:tc>
      </w:tr>
      <w:tr w:rsidR="0041248A" w:rsidRPr="0041248A" w:rsidTr="0041248A">
        <w:trPr>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lastRenderedPageBreak/>
              <w:t>8.</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SAK Indonesia untuk Entitas Privat</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SAK Indonesia untuk Entitas Privat menggantikan SAK Indonesia untuk Entitas Tanpa Akuntabilitas Publik</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2025</w:t>
            </w:r>
          </w:p>
        </w:tc>
      </w:tr>
      <w:tr w:rsidR="0041248A" w:rsidRPr="0041248A" w:rsidTr="0041248A">
        <w:trPr>
          <w:jc w:val="center"/>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9.</w:t>
            </w:r>
          </w:p>
        </w:tc>
        <w:tc>
          <w:tcPr>
            <w:tcW w:w="2818"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PSAK 370: </w:t>
            </w:r>
            <w:r w:rsidRPr="0041248A">
              <w:rPr>
                <w:rFonts w:ascii="Times New Roman" w:eastAsia="Times New Roman" w:hAnsi="Times New Roman" w:cs="Times New Roman"/>
                <w:i/>
                <w:iCs/>
                <w:sz w:val="24"/>
                <w:szCs w:val="24"/>
                <w:lang w:eastAsia="id-ID"/>
              </w:rPr>
              <w:t>Akuntansi Aset dan Liabilitas Pengampunan Pajak</w:t>
            </w:r>
          </w:p>
          <w:p w:rsidR="0041248A" w:rsidRPr="0041248A" w:rsidRDefault="0041248A" w:rsidP="0041248A">
            <w:pPr>
              <w:shd w:val="clear" w:color="auto" w:fill="FFFFFF"/>
              <w:spacing w:after="12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ISAK 335: </w:t>
            </w:r>
            <w:r w:rsidRPr="0041248A">
              <w:rPr>
                <w:rFonts w:ascii="Times New Roman" w:eastAsia="Times New Roman" w:hAnsi="Times New Roman" w:cs="Times New Roman"/>
                <w:i/>
                <w:iCs/>
                <w:sz w:val="24"/>
                <w:szCs w:val="24"/>
                <w:lang w:eastAsia="id-ID"/>
              </w:rPr>
              <w:t>Penyajian Laporan Keuangan Entitas Berorientasi Nonlaba</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Amendemen konsekuensial karena berlaku efektifnya SAK Indonesia untuk Entitas Privat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41248A" w:rsidRPr="0041248A" w:rsidRDefault="0041248A" w:rsidP="0041248A">
            <w:pPr>
              <w:spacing w:after="0" w:line="224" w:lineRule="atLeast"/>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t>1 Jan 2025</w:t>
            </w:r>
          </w:p>
        </w:tc>
      </w:tr>
    </w:tbl>
    <w:p w:rsidR="0041248A" w:rsidRPr="0041248A" w:rsidRDefault="0041248A" w:rsidP="0041248A">
      <w:pPr>
        <w:spacing w:after="0" w:line="240" w:lineRule="auto"/>
        <w:rPr>
          <w:rFonts w:ascii="Times New Roman" w:eastAsia="Times New Roman" w:hAnsi="Times New Roman" w:cs="Times New Roman"/>
          <w:sz w:val="24"/>
          <w:szCs w:val="24"/>
          <w:lang w:eastAsia="id-ID"/>
        </w:rPr>
      </w:pPr>
      <w:r w:rsidRPr="0041248A">
        <w:rPr>
          <w:rFonts w:ascii="Times New Roman" w:eastAsia="Times New Roman" w:hAnsi="Times New Roman" w:cs="Times New Roman"/>
          <w:sz w:val="24"/>
          <w:szCs w:val="24"/>
          <w:lang w:eastAsia="id-ID"/>
        </w:rPr>
        <w:pict>
          <v:rect id="_x0000_i1026" style="width:0;height:0" o:hrstd="t" o:hrnoshade="t" o:hr="t" fillcolor="#212529" stroked="f"/>
        </w:pict>
      </w:r>
    </w:p>
    <w:p w:rsidR="00BE18BA" w:rsidRDefault="00BE18BA"/>
    <w:sectPr w:rsidR="00BE1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8A"/>
    <w:rsid w:val="0041248A"/>
    <w:rsid w:val="00BE18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A87BD-8253-4EE5-8D0E-E37DF3FC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41248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1248A"/>
    <w:rPr>
      <w:rFonts w:ascii="Times New Roman" w:eastAsia="Times New Roman" w:hAnsi="Times New Roman" w:cs="Times New Roman"/>
      <w:b/>
      <w:bCs/>
      <w:sz w:val="24"/>
      <w:szCs w:val="24"/>
      <w:lang w:eastAsia="id-ID"/>
    </w:rPr>
  </w:style>
  <w:style w:type="paragraph" w:customStyle="1" w:styleId="idberita">
    <w:name w:val="idberita"/>
    <w:basedOn w:val="Normal"/>
    <w:rsid w:val="0041248A"/>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41248A"/>
    <w:rPr>
      <w:color w:val="0000FF"/>
      <w:u w:val="single"/>
    </w:rPr>
  </w:style>
  <w:style w:type="paragraph" w:styleId="NormalWeb">
    <w:name w:val="Normal (Web)"/>
    <w:basedOn w:val="Normal"/>
    <w:uiPriority w:val="99"/>
    <w:semiHidden/>
    <w:unhideWhenUsed/>
    <w:rsid w:val="0041248A"/>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8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iaiglobal.or.id/Berita-Kategori/SAK%20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2025-01-09T03:25:00Z</dcterms:created>
  <dcterms:modified xsi:type="dcterms:W3CDTF">2025-01-09T03:25:00Z</dcterms:modified>
</cp:coreProperties>
</file>